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B7862A"/>
          <w:sz w:val="16"/>
          <w:szCs w:val="16"/>
        </w:rPr>
        <w:t xml:space="preserve">ADAM AND AI · APPENDIX C</w:t>
      </w:r>
    </w:p>
    <w:p>
      <w:pPr>
        <w:spacing w:after="80"/>
      </w:pPr>
      <w:r>
        <w:rPr>
          <w:rFonts w:ascii="Georgia" w:cs="Georgia" w:eastAsia="Georgia" w:hAnsi="Georgia"/>
          <w:color w:val="1B2433"/>
          <w:sz w:val="52"/>
          <w:szCs w:val="52"/>
        </w:rPr>
        <w:t xml:space="preserve">Verification Kit</w:t>
      </w:r>
    </w:p>
    <w:p>
      <w:pPr>
        <w:spacing w:after="200"/>
      </w:pPr>
      <w:r>
        <w:rPr>
          <w:rFonts w:ascii="Georgia" w:cs="Georgia" w:eastAsia="Georgia" w:hAnsi="Georgia"/>
          <w:i/>
          <w:iCs/>
          <w:color w:val="566074"/>
          <w:sz w:val="25"/>
          <w:szCs w:val="25"/>
        </w:rPr>
        <w:t xml:space="preserve">Three-layer, cross-model verification with human adjudication, applied to Unlocking the Invisible Mile</w:t>
      </w:r>
    </w:p>
    <w:p>
      <w:pPr>
        <w:spacing w:after="120" w:line="276"/>
      </w:pPr>
      <w:r>
        <w:rPr>
          <w:rFonts w:ascii="Arial" w:cs="Arial" w:eastAsia="Arial" w:hAnsi="Arial"/>
          <w:color w:val="1B2433"/>
          <w:sz w:val="19"/>
          <w:szCs w:val="19"/>
        </w:rPr>
        <w:t xml:space="preserve">Use this kit to verify any AI-assisted work before it is released. It implements Section 6 of ADAM and AI (v1.0) and adapts the author’s reflexive, cross-model benchmarking method. Layer 1 freezes the work. Layer 2 asks several leading models to evaluate it independently. Layer 3 compares their evaluations and records a person’s verdict on every issue. The result is a one-page summary that any colleague can read.</w:t>
      </w:r>
    </w:p>
    <w:p>
      <w:pPr>
        <w:pStyle w:val="Heading1"/>
        <w:pBdr>
          <w:top w:val="single" w:color="B7862A" w:sz="14" w:space="6"/>
        </w:pBdr>
        <w:spacing w:after="120" w:before="300"/>
      </w:pPr>
      <w:r>
        <w:rPr>
          <w:rFonts w:ascii="Georgia" w:cs="Georgia" w:eastAsia="Georgia" w:hAnsi="Georgia"/>
          <w:b/>
          <w:bCs/>
          <w:color w:val="1B2433"/>
          <w:sz w:val="28"/>
          <w:szCs w:val="28"/>
        </w:rPr>
        <w:t xml:space="preserve">How to use this kit</w:t>
      </w:r>
    </w:p>
    <w:p>
      <w:pPr>
        <w:spacing w:after="120" w:line="276"/>
        <w:ind w:left="360" w:hanging="300"/>
      </w:pPr>
      <w:r>
        <w:rPr>
          <w:rFonts w:ascii="Arial" w:cs="Arial" w:eastAsia="Arial" w:hAnsi="Arial"/>
          <w:b/>
          <w:bCs/>
          <w:color w:val="B7862A"/>
          <w:sz w:val="19"/>
          <w:szCs w:val="19"/>
        </w:rPr>
        <w:t xml:space="preserve">1.  </w:t>
      </w:r>
      <w:r>
        <w:rPr>
          <w:rFonts w:ascii="Arial" w:cs="Arial" w:eastAsia="Arial" w:hAnsi="Arial"/>
          <w:color w:val="1B2433"/>
          <w:sz w:val="19"/>
          <w:szCs w:val="19"/>
        </w:rPr>
        <w:t xml:space="preserve">Freeze the work as a numbered version. Record its checksum, the systems that produced it and the dates.</w:t>
      </w:r>
    </w:p>
    <w:p>
      <w:pPr>
        <w:spacing w:after="120" w:line="276"/>
        <w:ind w:left="360" w:hanging="300"/>
      </w:pPr>
      <w:r>
        <w:rPr>
          <w:rFonts w:ascii="Arial" w:cs="Arial" w:eastAsia="Arial" w:hAnsi="Arial"/>
          <w:b/>
          <w:bCs/>
          <w:color w:val="B7862A"/>
          <w:sz w:val="19"/>
          <w:szCs w:val="19"/>
        </w:rPr>
        <w:t xml:space="preserve">2.  </w:t>
      </w:r>
      <w:r>
        <w:rPr>
          <w:rFonts w:ascii="Arial" w:cs="Arial" w:eastAsia="Arial" w:hAnsi="Arial"/>
          <w:color w:val="1B2433"/>
          <w:sz w:val="19"/>
          <w:szCs w:val="19"/>
        </w:rPr>
        <w:t xml:space="preserve">Give Prompt V1 and the work to at least three leading models, one at a time and in separate sessions. Give one of them the adversarial variant.</w:t>
      </w:r>
    </w:p>
    <w:p>
      <w:pPr>
        <w:spacing w:after="120" w:line="276"/>
        <w:ind w:left="360" w:hanging="300"/>
      </w:pPr>
      <w:r>
        <w:rPr>
          <w:rFonts w:ascii="Arial" w:cs="Arial" w:eastAsia="Arial" w:hAnsi="Arial"/>
          <w:b/>
          <w:bCs/>
          <w:color w:val="B7862A"/>
          <w:sz w:val="19"/>
          <w:szCs w:val="19"/>
        </w:rPr>
        <w:t xml:space="preserve">3.  </w:t>
      </w:r>
      <w:r>
        <w:rPr>
          <w:rFonts w:ascii="Arial" w:cs="Arial" w:eastAsia="Arial" w:hAnsi="Arial"/>
          <w:color w:val="1B2433"/>
          <w:sz w:val="19"/>
          <w:szCs w:val="19"/>
        </w:rPr>
        <w:t xml:space="preserve">Save each evaluation. Record each model’s name, version and date in the table in Section 3.</w:t>
      </w:r>
    </w:p>
    <w:p>
      <w:pPr>
        <w:spacing w:after="120" w:line="276"/>
        <w:ind w:left="360" w:hanging="300"/>
      </w:pPr>
      <w:r>
        <w:rPr>
          <w:rFonts w:ascii="Arial" w:cs="Arial" w:eastAsia="Arial" w:hAnsi="Arial"/>
          <w:b/>
          <w:bCs/>
          <w:color w:val="B7862A"/>
          <w:sz w:val="19"/>
          <w:szCs w:val="19"/>
        </w:rPr>
        <w:t xml:space="preserve">4.  </w:t>
      </w:r>
      <w:r>
        <w:rPr>
          <w:rFonts w:ascii="Arial" w:cs="Arial" w:eastAsia="Arial" w:hAnsi="Arial"/>
          <w:color w:val="1B2433"/>
          <w:sz w:val="19"/>
          <w:szCs w:val="19"/>
        </w:rPr>
        <w:t xml:space="preserve">Give Prompt V2 and all the evaluations to a model that was not an evaluator.</w:t>
      </w:r>
    </w:p>
    <w:p>
      <w:pPr>
        <w:spacing w:after="120" w:line="276"/>
        <w:ind w:left="360" w:hanging="300"/>
      </w:pPr>
      <w:r>
        <w:rPr>
          <w:rFonts w:ascii="Arial" w:cs="Arial" w:eastAsia="Arial" w:hAnsi="Arial"/>
          <w:b/>
          <w:bCs/>
          <w:color w:val="B7862A"/>
          <w:sz w:val="19"/>
          <w:szCs w:val="19"/>
        </w:rPr>
        <w:t xml:space="preserve">5.  </w:t>
      </w:r>
      <w:r>
        <w:rPr>
          <w:rFonts w:ascii="Arial" w:cs="Arial" w:eastAsia="Arial" w:hAnsi="Arial"/>
          <w:color w:val="1B2433"/>
          <w:sz w:val="19"/>
          <w:szCs w:val="19"/>
        </w:rPr>
        <w:t xml:space="preserve">For every consolidated issue, check the source yourself and complete the adjudication record (Section 4).</w:t>
      </w:r>
    </w:p>
    <w:p>
      <w:pPr>
        <w:spacing w:after="120" w:line="276"/>
        <w:ind w:left="360" w:hanging="300"/>
      </w:pPr>
      <w:r>
        <w:rPr>
          <w:rFonts w:ascii="Arial" w:cs="Arial" w:eastAsia="Arial" w:hAnsi="Arial"/>
          <w:b/>
          <w:bCs/>
          <w:color w:val="B7862A"/>
          <w:sz w:val="19"/>
          <w:szCs w:val="19"/>
        </w:rPr>
        <w:t xml:space="preserve">6.  </w:t>
      </w:r>
      <w:r>
        <w:rPr>
          <w:rFonts w:ascii="Arial" w:cs="Arial" w:eastAsia="Arial" w:hAnsi="Arial"/>
          <w:color w:val="1B2433"/>
          <w:sz w:val="19"/>
          <w:szCs w:val="19"/>
        </w:rPr>
        <w:t xml:space="preserve">Record errors by type and the time spent (Section 5), then write the one-page summary (Section 6).</w:t>
      </w:r>
    </w:p>
    <w:p>
      <w:pPr>
        <w:spacing w:after="120" w:line="276"/>
        <w:ind w:left="360" w:hanging="300"/>
      </w:pPr>
      <w:r>
        <w:rPr>
          <w:rFonts w:ascii="Arial" w:cs="Arial" w:eastAsia="Arial" w:hAnsi="Arial"/>
          <w:b/>
          <w:bCs/>
          <w:color w:val="B7862A"/>
          <w:sz w:val="19"/>
          <w:szCs w:val="19"/>
        </w:rPr>
        <w:t xml:space="preserve">7.  </w:t>
      </w:r>
      <w:r>
        <w:rPr>
          <w:rFonts w:ascii="Arial" w:cs="Arial" w:eastAsia="Arial" w:hAnsi="Arial"/>
          <w:color w:val="1B2433"/>
          <w:sz w:val="19"/>
          <w:szCs w:val="19"/>
        </w:rPr>
        <w:t xml:space="preserve">Correct the work, release it under a new version number and keep this kit with the project.</w:t>
      </w:r>
    </w:p>
    <w:p>
      <w:pPr>
        <w:pStyle w:val="Heading1"/>
        <w:pBdr>
          <w:top w:val="single" w:color="B7862A" w:sz="14" w:space="6"/>
        </w:pBdr>
        <w:spacing w:after="120" w:before="300"/>
      </w:pPr>
      <w:r>
        <w:rPr>
          <w:rFonts w:ascii="Georgia" w:cs="Georgia" w:eastAsia="Georgia" w:hAnsi="Georgia"/>
          <w:b/>
          <w:bCs/>
          <w:color w:val="1B2433"/>
          <w:sz w:val="28"/>
          <w:szCs w:val="28"/>
        </w:rPr>
        <w:t xml:space="preserve">1. Layer 2 evaluation prompt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4223F" w:color="auto" w:val="clear"/>
            <w:tcMar>
              <w:top w:type="dxa" w:w="100"/>
              <w:left w:type="dxa" w:w="180"/>
              <w:bottom w:type="dxa" w:w="60"/>
              <w:right w:type="dxa" w:w="180"/>
            </w:tcMar>
          </w:tcPr>
          <w:p>
            <w:pPr>
              <w:spacing w:after="80"/>
            </w:pPr>
            <w:r>
              <w:rPr>
                <w:rFonts w:ascii="Arial" w:cs="Arial" w:eastAsia="Arial" w:hAnsi="Arial"/>
                <w:b/>
                <w:bCs/>
                <w:color w:val="FFFFFF"/>
                <w:sz w:val="18"/>
                <w:szCs w:val="18"/>
              </w:rPr>
              <w:t xml:space="preserve">V1. Layer 2 evaluation prompt (give to each evaluator model with the artifact)</w:t>
            </w:r>
          </w:p>
        </w:tc>
      </w:tr>
      <w:tr>
        <w:tc>
          <w:tcPr>
            <w:tcW w:type="dxa" w:w="10080"/>
            <w:tcBorders>
              <w:top w:val="none" w:color="FFFFFF" w:sz="0"/>
              <w:left w:val="none" w:color="FFFFFF" w:sz="0"/>
              <w:bottom w:val="none" w:color="FFFFFF" w:sz="0"/>
              <w:right w:val="none" w:color="FFFFFF" w:sz="0"/>
            </w:tcBorders>
            <w:shd w:fill="F2F5F8" w:color="auto" w:val="clear"/>
            <w:tcMar>
              <w:top w:type="dxa" w:w="120"/>
              <w:left w:type="dxa" w:w="180"/>
              <w:bottom w:type="dxa" w:w="120"/>
              <w:right w:type="dxa" w:w="180"/>
            </w:tcMar>
          </w:tcPr>
          <w:p>
            <w:pPr>
              <w:spacing w:after="10" w:line="250"/>
            </w:pPr>
            <w:r>
              <w:rPr>
                <w:rFonts w:ascii="Courier New" w:cs="Courier New" w:eastAsia="Courier New" w:hAnsi="Courier New"/>
                <w:color w:val="1B2433"/>
                <w:sz w:val="16"/>
                <w:szCs w:val="16"/>
              </w:rPr>
              <w:t xml:space="preserve">You are an independent reviewer under the Agentic AI Checkpoint Protocol</w:t>
            </w:r>
          </w:p>
          <w:p>
            <w:pPr>
              <w:spacing w:after="10" w:line="250"/>
            </w:pPr>
            <w:r>
              <w:rPr>
                <w:rFonts w:ascii="Courier New" w:cs="Courier New" w:eastAsia="Courier New" w:hAnsi="Courier New"/>
                <w:color w:val="1B2433"/>
                <w:sz w:val="16"/>
                <w:szCs w:val="16"/>
              </w:rPr>
              <w:t xml:space="preserve">(Phase 5: verify and trace). Evaluate the attached work. Do not rewrite it.</w:t>
            </w:r>
          </w:p>
          <w:p>
            <w:pPr>
              <w:spacing w:after="10" w:line="250"/>
            </w:pPr>
            <w:r>
              <w:rPr>
                <w:rFonts w:ascii="Courier New" w:cs="Courier New" w:eastAsia="Courier New" w:hAnsi="Courier New"/>
                <w:color w:val="1B2433"/>
                <w:sz w:val="16"/>
                <w:szCs w:val="16"/>
              </w:rPr>
              <w:t xml:space="preserve">1. Quantitative: count the cited works and classify each as primary/official,</w:t>
            </w:r>
          </w:p>
          <w:p>
            <w:pPr>
              <w:spacing w:after="10" w:line="250"/>
            </w:pPr>
            <w:r>
              <w:rPr>
                <w:rFonts w:ascii="Courier New" w:cs="Courier New" w:eastAsia="Courier New" w:hAnsi="Courier New"/>
                <w:color w:val="1B2433"/>
                <w:sz w:val="16"/>
                <w:szCs w:val="16"/>
              </w:rPr>
              <w:t xml:space="preserve">   technical/scholarly, news/trade, encyclopedia, travel/aggregator/vendor/</w:t>
            </w:r>
          </w:p>
          <w:p>
            <w:pPr>
              <w:spacing w:after="10" w:line="250"/>
            </w:pPr>
            <w:r>
              <w:rPr>
                <w:rFonts w:ascii="Courier New" w:cs="Courier New" w:eastAsia="Courier New" w:hAnsi="Courier New"/>
                <w:color w:val="1B2433"/>
                <w:sz w:val="16"/>
                <w:szCs w:val="16"/>
              </w:rPr>
              <w:t xml:space="preserve">   commercial, or malformed/unresolvable. List the key numeric claims and the</w:t>
            </w:r>
          </w:p>
          <w:p>
            <w:pPr>
              <w:spacing w:after="10" w:line="250"/>
            </w:pPr>
            <w:r>
              <w:rPr>
                <w:rFonts w:ascii="Courier New" w:cs="Courier New" w:eastAsia="Courier New" w:hAnsi="Courier New"/>
                <w:color w:val="1B2433"/>
                <w:sz w:val="16"/>
                <w:szCs w:val="16"/>
              </w:rPr>
              <w:t xml:space="preserve">   source cited for each.</w:t>
            </w:r>
          </w:p>
          <w:p>
            <w:pPr>
              <w:spacing w:after="10" w:line="250"/>
            </w:pPr>
            <w:r>
              <w:rPr>
                <w:rFonts w:ascii="Courier New" w:cs="Courier New" w:eastAsia="Courier New" w:hAnsi="Courier New"/>
                <w:color w:val="1B2433"/>
                <w:sz w:val="16"/>
                <w:szCs w:val="16"/>
              </w:rPr>
              <w:t xml:space="preserve">2. Identity: for each DOI, state whether it resolves and whether title, authors</w:t>
            </w:r>
          </w:p>
          <w:p>
            <w:pPr>
              <w:spacing w:after="10" w:line="250"/>
            </w:pPr>
            <w:r>
              <w:rPr>
                <w:rFonts w:ascii="Courier New" w:cs="Courier New" w:eastAsia="Courier New" w:hAnsi="Courier New"/>
                <w:color w:val="1B2433"/>
                <w:sz w:val="16"/>
                <w:szCs w:val="16"/>
              </w:rPr>
              <w:t xml:space="preserve">   and year match. Note any author or institution you cannot confirm.</w:t>
            </w:r>
          </w:p>
          <w:p>
            <w:pPr>
              <w:spacing w:after="10" w:line="250"/>
            </w:pPr>
            <w:r>
              <w:rPr>
                <w:rFonts w:ascii="Courier New" w:cs="Courier New" w:eastAsia="Courier New" w:hAnsi="Courier New"/>
                <w:color w:val="1B2433"/>
                <w:sz w:val="16"/>
                <w:szCs w:val="16"/>
              </w:rPr>
              <w:t xml:space="preserve">3. Claim-source fit: rate each key claim as supported, weakly supported,</w:t>
            </w:r>
          </w:p>
          <w:p>
            <w:pPr>
              <w:spacing w:after="10" w:line="250"/>
            </w:pPr>
            <w:r>
              <w:rPr>
                <w:rFonts w:ascii="Courier New" w:cs="Courier New" w:eastAsia="Courier New" w:hAnsi="Courier New"/>
                <w:color w:val="1B2433"/>
                <w:sz w:val="16"/>
                <w:szCs w:val="16"/>
              </w:rPr>
              <w:t xml:space="preserve">   unsupported or cannot verify. Flag claims whose source type does not fit them.</w:t>
            </w:r>
          </w:p>
          <w:p>
            <w:pPr>
              <w:spacing w:after="10" w:line="250"/>
            </w:pPr>
            <w:r>
              <w:rPr>
                <w:rFonts w:ascii="Courier New" w:cs="Courier New" w:eastAsia="Courier New" w:hAnsi="Courier New"/>
                <w:color w:val="1B2433"/>
                <w:sz w:val="16"/>
                <w:szCs w:val="16"/>
              </w:rPr>
              <w:t xml:space="preserve">4. Method transparency: could the method be reproduced from the text?</w:t>
            </w:r>
          </w:p>
          <w:p>
            <w:pPr>
              <w:spacing w:after="10" w:line="250"/>
            </w:pPr>
            <w:r>
              <w:rPr>
                <w:rFonts w:ascii="Courier New" w:cs="Courier New" w:eastAsia="Courier New" w:hAnsi="Courier New"/>
                <w:color w:val="1B2433"/>
                <w:sz w:val="16"/>
                <w:szCs w:val="16"/>
              </w:rPr>
              <w:t xml:space="preserve">   What is missing?</w:t>
            </w:r>
          </w:p>
          <w:p>
            <w:pPr>
              <w:spacing w:after="10" w:line="250"/>
            </w:pPr>
            <w:r>
              <w:rPr>
                <w:rFonts w:ascii="Courier New" w:cs="Courier New" w:eastAsia="Courier New" w:hAnsi="Courier New"/>
                <w:color w:val="1B2433"/>
                <w:sz w:val="16"/>
                <w:szCs w:val="16"/>
              </w:rPr>
              <w:t xml:space="preserve">5. Qualitative: rate 1-5 for evidence quality, method transparency, internal</w:t>
            </w:r>
          </w:p>
          <w:p>
            <w:pPr>
              <w:spacing w:after="10" w:line="250"/>
            </w:pPr>
            <w:r>
              <w:rPr>
                <w:rFonts w:ascii="Courier New" w:cs="Courier New" w:eastAsia="Courier New" w:hAnsi="Courier New"/>
                <w:color w:val="1B2433"/>
                <w:sz w:val="16"/>
                <w:szCs w:val="16"/>
              </w:rPr>
              <w:t xml:space="preserve">   consistency, clarity and fitness for the intended audience.</w:t>
            </w:r>
          </w:p>
          <w:p>
            <w:pPr>
              <w:spacing w:after="10" w:line="250"/>
            </w:pPr>
            <w:r>
              <w:rPr>
                <w:rFonts w:ascii="Courier New" w:cs="Courier New" w:eastAsia="Courier New" w:hAnsi="Courier New"/>
                <w:color w:val="1B2433"/>
                <w:sz w:val="16"/>
                <w:szCs w:val="16"/>
              </w:rPr>
              <w:t xml:space="preserve">6. Level: at what professional level is the work written? One paragraph.</w:t>
            </w:r>
          </w:p>
          <w:p>
            <w:pPr>
              <w:spacing w:after="10" w:line="250"/>
            </w:pPr>
            <w:r>
              <w:rPr>
                <w:rFonts w:ascii="Courier New" w:cs="Courier New" w:eastAsia="Courier New" w:hAnsi="Courier New"/>
                <w:color w:val="1B2433"/>
                <w:sz w:val="16"/>
                <w:szCs w:val="16"/>
              </w:rPr>
              <w:t xml:space="preserve">7. Limits: list what you could not check and why. Do not invent sources.</w:t>
            </w:r>
          </w:p>
          <w:p>
            <w:pPr>
              <w:spacing w:after="10" w:line="250"/>
            </w:pPr>
            <w:r>
              <w:rPr>
                <w:rFonts w:ascii="Courier New" w:cs="Courier New" w:eastAsia="Courier New" w:hAnsi="Courier New"/>
                <w:color w:val="1B2433"/>
                <w:sz w:val="16"/>
                <w:szCs w:val="16"/>
              </w:rPr>
              <w:t xml:space="preserve">[Adversarial variant: your only task is to find where the work's integrity</w:t>
            </w:r>
          </w:p>
          <w:p>
            <w:pPr>
              <w:spacing w:after="10" w:line="250"/>
            </w:pPr>
            <w:r>
              <w:rPr>
                <w:rFonts w:ascii="Courier New" w:cs="Courier New" w:eastAsia="Courier New" w:hAnsi="Courier New"/>
                <w:color w:val="1B2433"/>
                <w:sz w:val="16"/>
                <w:szCs w:val="16"/>
              </w:rPr>
              <w:t xml:space="preserve">fails. Report every weakness you can substantiate.]</w:t>
            </w:r>
          </w:p>
        </w:tc>
      </w:tr>
    </w:tbl>
    <w:p>
      <w:pPr>
        <w:pStyle w:val="Heading1"/>
        <w:pBdr>
          <w:top w:val="single" w:color="B7862A" w:sz="14" w:space="6"/>
        </w:pBdr>
        <w:spacing w:after="120" w:before="300"/>
      </w:pPr>
      <w:r>
        <w:rPr>
          <w:rFonts w:ascii="Georgia" w:cs="Georgia" w:eastAsia="Georgia" w:hAnsi="Georgia"/>
          <w:b/>
          <w:bCs/>
          <w:color w:val="1B2433"/>
          <w:sz w:val="28"/>
          <w:szCs w:val="28"/>
        </w:rPr>
        <w:t xml:space="preserve">2. Layer 3 meta-analysis prompt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4223F" w:color="auto" w:val="clear"/>
            <w:tcMar>
              <w:top w:type="dxa" w:w="100"/>
              <w:left w:type="dxa" w:w="180"/>
              <w:bottom w:type="dxa" w:w="60"/>
              <w:right w:type="dxa" w:w="180"/>
            </w:tcMar>
          </w:tcPr>
          <w:p>
            <w:pPr>
              <w:spacing w:after="80"/>
            </w:pPr>
            <w:r>
              <w:rPr>
                <w:rFonts w:ascii="Arial" w:cs="Arial" w:eastAsia="Arial" w:hAnsi="Arial"/>
                <w:b/>
                <w:bCs/>
                <w:color w:val="FFFFFF"/>
                <w:sz w:val="18"/>
                <w:szCs w:val="18"/>
              </w:rPr>
              <w:t xml:space="preserve">V2. Layer 3 meta-analysis prompt (give to a different model with all evaluations)</w:t>
            </w:r>
          </w:p>
        </w:tc>
      </w:tr>
      <w:tr>
        <w:tc>
          <w:tcPr>
            <w:tcW w:type="dxa" w:w="10080"/>
            <w:tcBorders>
              <w:top w:val="none" w:color="FFFFFF" w:sz="0"/>
              <w:left w:val="none" w:color="FFFFFF" w:sz="0"/>
              <w:bottom w:val="none" w:color="FFFFFF" w:sz="0"/>
              <w:right w:val="none" w:color="FFFFFF" w:sz="0"/>
            </w:tcBorders>
            <w:shd w:fill="F2F5F8" w:color="auto" w:val="clear"/>
            <w:tcMar>
              <w:top w:type="dxa" w:w="120"/>
              <w:left w:type="dxa" w:w="180"/>
              <w:bottom w:type="dxa" w:w="120"/>
              <w:right w:type="dxa" w:w="180"/>
            </w:tcMar>
          </w:tcPr>
          <w:p>
            <w:pPr>
              <w:spacing w:after="10" w:line="250"/>
            </w:pPr>
            <w:r>
              <w:rPr>
                <w:rFonts w:ascii="Courier New" w:cs="Courier New" w:eastAsia="Courier New" w:hAnsi="Courier New"/>
                <w:color w:val="1B2433"/>
                <w:sz w:val="16"/>
                <w:szCs w:val="16"/>
              </w:rPr>
              <w:t xml:space="preserve">You will receive independent evaluations of one work from several AI models.</w:t>
            </w:r>
          </w:p>
          <w:p>
            <w:pPr>
              <w:spacing w:after="10" w:line="250"/>
            </w:pPr>
            <w:r>
              <w:rPr>
                <w:rFonts w:ascii="Courier New" w:cs="Courier New" w:eastAsia="Courier New" w:hAnsi="Courier New"/>
                <w:color w:val="1B2433"/>
                <w:sz w:val="16"/>
                <w:szCs w:val="16"/>
              </w:rPr>
              <w:t xml:space="preserve">Compare them: which issues all evaluators raised, which some raised, which</w:t>
            </w:r>
          </w:p>
          <w:p>
            <w:pPr>
              <w:spacing w:after="10" w:line="250"/>
            </w:pPr>
            <w:r>
              <w:rPr>
                <w:rFonts w:ascii="Courier New" w:cs="Courier New" w:eastAsia="Courier New" w:hAnsi="Courier New"/>
                <w:color w:val="1B2433"/>
                <w:sz w:val="16"/>
                <w:szCs w:val="16"/>
              </w:rPr>
              <w:t xml:space="preserve">only one raised; where ratings differ; which judgments seem too generous or</w:t>
            </w:r>
          </w:p>
          <w:p>
            <w:pPr>
              <w:spacing w:after="10" w:line="250"/>
            </w:pPr>
            <w:r>
              <w:rPr>
                <w:rFonts w:ascii="Courier New" w:cs="Courier New" w:eastAsia="Courier New" w:hAnsi="Courier New"/>
                <w:color w:val="1B2433"/>
                <w:sz w:val="16"/>
                <w:szCs w:val="16"/>
              </w:rPr>
              <w:t xml:space="preserve">too harsh. Produce a comparison table and a consolidated list of issues ranked</w:t>
            </w:r>
          </w:p>
          <w:p>
            <w:pPr>
              <w:spacing w:after="10" w:line="250"/>
            </w:pPr>
            <w:r>
              <w:rPr>
                <w:rFonts w:ascii="Courier New" w:cs="Courier New" w:eastAsia="Courier New" w:hAnsi="Courier New"/>
                <w:color w:val="1B2433"/>
                <w:sz w:val="16"/>
                <w:szCs w:val="16"/>
              </w:rPr>
              <w:t xml:space="preserve">by severity, each with a recommended correction. Add no claims about the work</w:t>
            </w:r>
          </w:p>
          <w:p>
            <w:pPr>
              <w:spacing w:after="10" w:line="250"/>
            </w:pPr>
            <w:r>
              <w:rPr>
                <w:rFonts w:ascii="Courier New" w:cs="Courier New" w:eastAsia="Courier New" w:hAnsi="Courier New"/>
                <w:color w:val="1B2433"/>
                <w:sz w:val="16"/>
                <w:szCs w:val="16"/>
              </w:rPr>
              <w:t xml:space="preserve">that the evaluations or the work itself do not support.</w:t>
            </w:r>
          </w:p>
        </w:tc>
      </w:tr>
    </w:tbl>
    <w:p>
      <w:pPr>
        <w:pStyle w:val="Heading1"/>
        <w:pBdr>
          <w:top w:val="single" w:color="B7862A" w:sz="14" w:space="6"/>
        </w:pBdr>
        <w:spacing w:after="120" w:before="300"/>
      </w:pPr>
      <w:r>
        <w:rPr>
          <w:rFonts w:ascii="Georgia" w:cs="Georgia" w:eastAsia="Georgia" w:hAnsi="Georgia"/>
          <w:b/>
          <w:bCs/>
          <w:color w:val="1B2433"/>
          <w:sz w:val="28"/>
          <w:szCs w:val="28"/>
        </w:rPr>
        <w:t xml:space="preserve">3. Evaluators and their ratings</w:t>
      </w:r>
    </w:p>
    <w:p>
      <w:pPr>
        <w:spacing w:after="120" w:line="276"/>
      </w:pPr>
      <w:r>
        <w:rPr>
          <w:rFonts w:ascii="Arial" w:cs="Arial" w:eastAsia="Arial" w:hAnsi="Arial"/>
          <w:color w:val="1B2433"/>
          <w:sz w:val="19"/>
          <w:szCs w:val="19"/>
        </w:rPr>
        <w:t xml:space="preserve">One evaluation has been completed. Add a row for each further evaluator, and record your own rating in the last row. Ratings use the 1–5 scales in Prompt V1.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53"/>
        <w:gridCol w:w="880"/>
        <w:gridCol w:w="880"/>
        <w:gridCol w:w="880"/>
        <w:gridCol w:w="978"/>
        <w:gridCol w:w="978"/>
        <w:gridCol w:w="782"/>
        <w:gridCol w:w="2549"/>
      </w:tblGrid>
      <w:tr>
        <w:trPr>
          <w:tblHeader/>
        </w:trPr>
        <w:tc>
          <w:tcPr>
            <w:tcW w:type="dxa" w:w="2153"/>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Evaluator (model, version)</w:t>
            </w:r>
          </w:p>
        </w:tc>
        <w:tc>
          <w:tcPr>
            <w:tcW w:type="dxa" w:w="88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Date</w:t>
            </w:r>
          </w:p>
        </w:tc>
        <w:tc>
          <w:tcPr>
            <w:tcW w:type="dxa" w:w="88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Adversarial?</w:t>
            </w:r>
          </w:p>
        </w:tc>
        <w:tc>
          <w:tcPr>
            <w:tcW w:type="dxa" w:w="88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Evidence</w:t>
            </w:r>
          </w:p>
        </w:tc>
        <w:tc>
          <w:tcPr>
            <w:tcW w:type="dxa" w:w="978"/>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Transparency</w:t>
            </w:r>
          </w:p>
        </w:tc>
        <w:tc>
          <w:tcPr>
            <w:tcW w:type="dxa" w:w="978"/>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Consistency</w:t>
            </w:r>
          </w:p>
        </w:tc>
        <w:tc>
          <w:tcPr>
            <w:tcW w:type="dxa" w:w="782"/>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Clarity</w:t>
            </w:r>
          </w:p>
        </w:tc>
        <w:tc>
          <w:tcPr>
            <w:tcW w:type="dxa" w:w="2549"/>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Level of the work (one line)</w:t>
            </w:r>
          </w:p>
        </w:tc>
      </w:tr>
      <w:tr>
        <w:trPr>
          <w:cantSplit/>
          <w:trHeight w:val="520" w:hRule="atLeast"/>
        </w:trPr>
        <w:tc>
          <w:tcPr>
            <w:tcW w:type="dxa" w:w="215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Claude (Anthropic)</w:t>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Sept 2026</w:t>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No</w:t>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source audit only</w:t>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w:t>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w:t>
            </w:r>
          </w:p>
        </w:tc>
        <w:tc>
          <w:tcPr>
            <w:tcW w:type="dxa" w:w="782"/>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w:t>
            </w:r>
          </w:p>
        </w:tc>
        <w:tc>
          <w:tcPr>
            <w:tcW w:type="dxa" w:w="2549"/>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Source-type audit and six flags; see Section 4</w:t>
            </w:r>
          </w:p>
        </w:tc>
      </w:tr>
      <w:tr>
        <w:trPr>
          <w:cantSplit/>
          <w:trHeight w:val="520" w:hRule="atLeast"/>
        </w:trPr>
        <w:tc>
          <w:tcPr>
            <w:tcW w:type="dxa" w:w="215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782"/>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49"/>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520" w:hRule="atLeast"/>
        </w:trPr>
        <w:tc>
          <w:tcPr>
            <w:tcW w:type="dxa" w:w="215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782"/>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49"/>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520" w:hRule="atLeast"/>
        </w:trPr>
        <w:tc>
          <w:tcPr>
            <w:tcW w:type="dxa" w:w="215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782"/>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49"/>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520" w:hRule="atLeast"/>
        </w:trPr>
        <w:tc>
          <w:tcPr>
            <w:tcW w:type="dxa" w:w="215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Human adjudicator</w:t>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w:t>
            </w:r>
          </w:p>
        </w:tc>
        <w:tc>
          <w:tcPr>
            <w:tcW w:type="dxa" w:w="88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78"/>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782"/>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49"/>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bl>
    <w:p>
      <w:pPr>
        <w:pStyle w:val="Heading1"/>
        <w:pBdr>
          <w:top w:val="single" w:color="B7862A" w:sz="14" w:space="6"/>
        </w:pBdr>
        <w:spacing w:after="120" w:before="300"/>
      </w:pPr>
      <w:r>
        <w:rPr>
          <w:rFonts w:ascii="Georgia" w:cs="Georgia" w:eastAsia="Georgia" w:hAnsi="Georgia"/>
          <w:b/>
          <w:bCs/>
          <w:color w:val="1B2433"/>
          <w:sz w:val="28"/>
          <w:szCs w:val="28"/>
        </w:rPr>
        <w:t xml:space="preserve">4. Human adjudication record</w:t>
      </w:r>
    </w:p>
    <w:p>
      <w:pPr>
        <w:spacing w:after="120" w:line="276"/>
      </w:pPr>
      <w:r>
        <w:rPr>
          <w:rFonts w:ascii="Arial" w:cs="Arial" w:eastAsia="Arial" w:hAnsi="Arial"/>
          <w:color w:val="1B2433"/>
          <w:sz w:val="19"/>
          <w:szCs w:val="19"/>
        </w:rPr>
        <w:t xml:space="preserve">The first six rows are the issues flagged by the first evaluation. Add the issues consolidated in Layer 3. For each, open the source or recompute, then record your verdict and action.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73"/>
        <w:gridCol w:w="2666"/>
        <w:gridCol w:w="960"/>
        <w:gridCol w:w="2560"/>
        <w:gridCol w:w="1386"/>
        <w:gridCol w:w="1600"/>
        <w:gridCol w:w="535"/>
      </w:tblGrid>
      <w:tr>
        <w:trPr>
          <w:tblHeader/>
        </w:trPr>
        <w:tc>
          <w:tcPr>
            <w:tcW w:type="dxa" w:w="373"/>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w:t>
            </w:r>
          </w:p>
        </w:tc>
        <w:tc>
          <w:tcPr>
            <w:tcW w:type="dxa" w:w="2666"/>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Issue</w:t>
            </w:r>
          </w:p>
        </w:tc>
        <w:tc>
          <w:tcPr>
            <w:tcW w:type="dxa" w:w="96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Raised by</w:t>
            </w:r>
          </w:p>
        </w:tc>
        <w:tc>
          <w:tcPr>
            <w:tcW w:type="dxa" w:w="256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Your check (source opened, DOI resolved, recomputed)</w:t>
            </w:r>
          </w:p>
        </w:tc>
        <w:tc>
          <w:tcPr>
            <w:tcW w:type="dxa" w:w="1386"/>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Verdict (confirmed / partly / not)</w:t>
            </w:r>
          </w:p>
        </w:tc>
        <w:tc>
          <w:tcPr>
            <w:tcW w:type="dxa" w:w="160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Action (correct / remove / keep with note)</w:t>
            </w:r>
          </w:p>
        </w:tc>
        <w:tc>
          <w:tcPr>
            <w:tcW w:type="dxa" w:w="535"/>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Min.</w:t>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1</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Island distances cited to a route-planning aggregator</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2</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Airport transfer times cited to a transfer company’s blog</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3</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Soft-ground conditions cited to a design-competition website</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4</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The ROI weights, scales and per-factor scores are not stated in the main report</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5</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Several cost figures appear as estimates without a stated derivation</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6</w:t>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One reference is a search-engine link rather than the document itself</w:t>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Claude</w:t>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trHeight w:val="620" w:hRule="atLeast"/>
        </w:trPr>
        <w:tc>
          <w:tcPr>
            <w:tcW w:type="dxa" w:w="373"/>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
            </w:r>
          </w:p>
        </w:tc>
        <w:tc>
          <w:tcPr>
            <w:tcW w:type="dxa" w:w="266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9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256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386"/>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160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bl>
    <w:p>
      <w:pPr>
        <w:pStyle w:val="Heading1"/>
        <w:pBdr>
          <w:top w:val="single" w:color="B7862A" w:sz="14" w:space="6"/>
        </w:pBdr>
        <w:spacing w:after="120" w:before="300"/>
      </w:pPr>
      <w:r>
        <w:rPr>
          <w:rFonts w:ascii="Georgia" w:cs="Georgia" w:eastAsia="Georgia" w:hAnsi="Georgia"/>
          <w:b/>
          <w:bCs/>
          <w:color w:val="1B2433"/>
          <w:sz w:val="28"/>
          <w:szCs w:val="28"/>
        </w:rPr>
        <w:t xml:space="preserve">5. Error and time log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780"/>
        <w:gridCol w:w="945"/>
        <w:gridCol w:w="5355"/>
      </w:tblGrid>
      <w:tr>
        <w:trPr>
          <w:tblHeader/>
        </w:trPr>
        <w:tc>
          <w:tcPr>
            <w:tcW w:type="dxa" w:w="378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Error type</w:t>
            </w:r>
          </w:p>
        </w:tc>
        <w:tc>
          <w:tcPr>
            <w:tcW w:type="dxa" w:w="945"/>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Count</w:t>
            </w:r>
          </w:p>
        </w:tc>
        <w:tc>
          <w:tcPr>
            <w:tcW w:type="dxa" w:w="5355"/>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Examples</w:t>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Citation errors (missing, wrong or unresolvable)</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Claim–source mismatch</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Instructions lost between sessions</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Silent loss of content between versions</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Numeric or code errors</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Graphics or layout defects</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80" w:hRule="atLeast"/>
        </w:trPr>
        <w:tc>
          <w:tcPr>
            <w:tcW w:type="dxa" w:w="378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Identity errors (author, institution, DOI metadata)</w:t>
            </w:r>
          </w:p>
        </w:tc>
        <w:tc>
          <w:tcPr>
            <w:tcW w:type="dxa" w:w="94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c>
          <w:tcPr>
            <w:tcW w:type="dxa" w:w="5355"/>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350"/>
        <w:gridCol w:w="2730"/>
      </w:tblGrid>
      <w:tr>
        <w:trPr>
          <w:tblHeader/>
        </w:trPr>
        <w:tc>
          <w:tcPr>
            <w:tcW w:type="dxa" w:w="735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Time</w:t>
            </w:r>
          </w:p>
        </w:tc>
        <w:tc>
          <w:tcPr>
            <w:tcW w:type="dxa" w:w="2730"/>
            <w:tcBorders>
              <w:top w:val="single" w:color="C9D3E0" w:sz="4"/>
              <w:left w:val="single" w:color="C9D3E0" w:sz="4"/>
              <w:bottom w:val="single" w:color="C9D3E0" w:sz="4"/>
              <w:right w:val="single" w:color="C9D3E0" w:sz="4"/>
            </w:tcBorders>
            <w:shd w:fill="14223F" w:color="auto" w:val="clear"/>
            <w:tcMar>
              <w:top w:type="dxa" w:w="60"/>
              <w:left w:type="dxa" w:w="80"/>
              <w:bottom w:type="dxa" w:w="60"/>
              <w:right w:type="dxa" w:w="80"/>
            </w:tcMar>
          </w:tcPr>
          <w:p>
            <w:r>
              <w:rPr>
                <w:rFonts w:ascii="Arial" w:cs="Arial" w:eastAsia="Arial" w:hAnsi="Arial"/>
                <w:b/>
                <w:bCs/>
                <w:color w:val="FFFFFF"/>
                <w:sz w:val="16"/>
                <w:szCs w:val="16"/>
              </w:rPr>
              <w:t xml:space="preserve">Hours</w:t>
            </w:r>
          </w:p>
        </w:tc>
      </w:tr>
      <w:tr>
        <w:trPr>
          <w:cantSplit/>
          <w:trHeight w:val="440" w:hRule="atLeast"/>
        </w:trPr>
        <w:tc>
          <w:tcPr>
            <w:tcW w:type="dxa" w:w="735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Creating the work</w:t>
            </w:r>
          </w:p>
        </w:tc>
        <w:tc>
          <w:tcPr>
            <w:tcW w:type="dxa" w:w="273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40" w:hRule="atLeast"/>
        </w:trPr>
        <w:tc>
          <w:tcPr>
            <w:tcW w:type="dxa" w:w="735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Layer 2 evaluations</w:t>
            </w:r>
          </w:p>
        </w:tc>
        <w:tc>
          <w:tcPr>
            <w:tcW w:type="dxa" w:w="273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40" w:hRule="atLeast"/>
        </w:trPr>
        <w:tc>
          <w:tcPr>
            <w:tcW w:type="dxa" w:w="735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Layer 3 meta-analysis</w:t>
            </w:r>
          </w:p>
        </w:tc>
        <w:tc>
          <w:tcPr>
            <w:tcW w:type="dxa" w:w="273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r>
        <w:trPr>
          <w:cantSplit/>
          <w:trHeight w:val="440" w:hRule="atLeast"/>
        </w:trPr>
        <w:tc>
          <w:tcPr>
            <w:tcW w:type="dxa" w:w="7350"/>
            <w:tcBorders>
              <w:top w:val="single" w:color="C9D3E0" w:sz="4"/>
              <w:left w:val="single" w:color="C9D3E0" w:sz="4"/>
              <w:bottom w:val="single" w:color="C9D3E0" w:sz="4"/>
              <w:right w:val="single" w:color="C9D3E0" w:sz="4"/>
            </w:tcBorders>
            <w:shd w:fill="E3F0F3" w:color="auto" w:val="clear"/>
            <w:tcMar>
              <w:top w:type="dxa" w:w="60"/>
              <w:left w:type="dxa" w:w="80"/>
              <w:bottom w:type="dxa" w:w="60"/>
              <w:right w:type="dxa" w:w="80"/>
            </w:tcMar>
          </w:tcPr>
          <w:p>
            <w:r>
              <w:rPr>
                <w:rFonts w:ascii="Arial" w:cs="Arial" w:eastAsia="Arial" w:hAnsi="Arial"/>
                <w:b/>
                <w:bCs/>
                <w:color w:val="1B2433"/>
                <w:sz w:val="16"/>
                <w:szCs w:val="16"/>
              </w:rPr>
              <w:t xml:space="preserve">Human adjudication and correction</w:t>
            </w:r>
          </w:p>
        </w:tc>
        <w:tc>
          <w:tcPr>
            <w:tcW w:type="dxa" w:w="2730"/>
            <w:tcBorders>
              <w:top w:val="single" w:color="C9D3E0" w:sz="4"/>
              <w:left w:val="single" w:color="C9D3E0" w:sz="4"/>
              <w:bottom w:val="single" w:color="C9D3E0" w:sz="4"/>
              <w:right w:val="single" w:color="C9D3E0" w:sz="4"/>
            </w:tcBorders>
            <w:tcMar>
              <w:top w:type="dxa" w:w="60"/>
              <w:left w:type="dxa" w:w="80"/>
              <w:bottom w:type="dxa" w:w="60"/>
              <w:right w:type="dxa" w:w="80"/>
            </w:tcMar>
          </w:tcPr>
          <w:p>
            <w:r>
              <w:rPr>
                <w:rFonts w:ascii="Arial" w:cs="Arial" w:eastAsia="Arial" w:hAnsi="Arial"/>
                <w:b w:val="false"/>
                <w:bCs w:val="false"/>
                <w:color w:val="1B2433"/>
                <w:sz w:val="16"/>
                <w:szCs w:val="16"/>
              </w:rPr>
              <w:t xml:space="preserve"/>
            </w:r>
          </w:p>
        </w:tc>
      </w:tr>
    </w:tbl>
    <w:p>
      <w:pPr>
        <w:pStyle w:val="Heading1"/>
        <w:pBdr>
          <w:top w:val="single" w:color="B7862A" w:sz="14" w:space="6"/>
        </w:pBdr>
        <w:spacing w:after="120" w:before="300"/>
      </w:pPr>
      <w:r>
        <w:rPr>
          <w:rFonts w:ascii="Georgia" w:cs="Georgia" w:eastAsia="Georgia" w:hAnsi="Georgia"/>
          <w:b/>
          <w:bCs/>
          <w:color w:val="1B2433"/>
          <w:sz w:val="28"/>
          <w:szCs w:val="28"/>
        </w:rPr>
        <w:t xml:space="preserve">6. One-page verification summary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4223F" w:color="auto" w:val="clear"/>
            <w:tcMar>
              <w:top w:type="dxa" w:w="100"/>
              <w:left w:type="dxa" w:w="180"/>
              <w:bottom w:type="dxa" w:w="60"/>
              <w:right w:type="dxa" w:w="180"/>
            </w:tcMar>
          </w:tcPr>
          <w:p>
            <w:pPr>
              <w:spacing w:after="80"/>
            </w:pPr>
            <w:r>
              <w:rPr>
                <w:rFonts w:ascii="Arial" w:cs="Arial" w:eastAsia="Arial" w:hAnsi="Arial"/>
                <w:b/>
                <w:bCs/>
                <w:color w:val="FFFFFF"/>
                <w:sz w:val="18"/>
                <w:szCs w:val="18"/>
              </w:rPr>
              <w:t xml:space="preserve">V4. One-page verification summary</w:t>
            </w:r>
          </w:p>
        </w:tc>
      </w:tr>
      <w:tr>
        <w:tc>
          <w:tcPr>
            <w:tcW w:type="dxa" w:w="10080"/>
            <w:tcBorders>
              <w:top w:val="none" w:color="FFFFFF" w:sz="0"/>
              <w:left w:val="none" w:color="FFFFFF" w:sz="0"/>
              <w:bottom w:val="none" w:color="FFFFFF" w:sz="0"/>
              <w:right w:val="none" w:color="FFFFFF" w:sz="0"/>
            </w:tcBorders>
            <w:shd w:fill="F2F5F8" w:color="auto" w:val="clear"/>
            <w:tcMar>
              <w:top w:type="dxa" w:w="120"/>
              <w:left w:type="dxa" w:w="180"/>
              <w:bottom w:type="dxa" w:w="120"/>
              <w:right w:type="dxa" w:w="180"/>
            </w:tcMar>
          </w:tcPr>
          <w:p>
            <w:pPr>
              <w:spacing w:after="10" w:line="250"/>
            </w:pPr>
            <w:r>
              <w:rPr>
                <w:rFonts w:ascii="Courier New" w:cs="Courier New" w:eastAsia="Courier New" w:hAnsi="Courier New"/>
                <w:color w:val="1B2433"/>
                <w:sz w:val="16"/>
                <w:szCs w:val="16"/>
              </w:rPr>
              <w:t xml:space="preserve">Work and version: [title, version, checksum]   Tier: [T]   Date: [date]</w:t>
            </w:r>
          </w:p>
          <w:p>
            <w:pPr>
              <w:spacing w:after="10" w:line="250"/>
            </w:pPr>
            <w:r>
              <w:rPr>
                <w:rFonts w:ascii="Courier New" w:cs="Courier New" w:eastAsia="Courier New" w:hAnsi="Courier New"/>
                <w:color w:val="1B2433"/>
                <w:sz w:val="16"/>
                <w:szCs w:val="16"/>
              </w:rPr>
              <w:t xml:space="preserve">What was checked: [claims, citations and DOIs, numbers, code, identities]</w:t>
            </w:r>
          </w:p>
          <w:p>
            <w:pPr>
              <w:spacing w:after="10" w:line="250"/>
            </w:pPr>
            <w:r>
              <w:rPr>
                <w:rFonts w:ascii="Courier New" w:cs="Courier New" w:eastAsia="Courier New" w:hAnsi="Courier New"/>
                <w:color w:val="1B2433"/>
                <w:sz w:val="16"/>
                <w:szCs w:val="16"/>
              </w:rPr>
              <w:t xml:space="preserve">How: [evaluators and versions; adversarial auditor; human checks performed]</w:t>
            </w:r>
          </w:p>
          <w:p>
            <w:pPr>
              <w:spacing w:after="10" w:line="250"/>
            </w:pPr>
            <w:r>
              <w:rPr>
                <w:rFonts w:ascii="Courier New" w:cs="Courier New" w:eastAsia="Courier New" w:hAnsi="Courier New"/>
                <w:color w:val="1B2433"/>
                <w:sz w:val="16"/>
                <w:szCs w:val="16"/>
              </w:rPr>
              <w:t xml:space="preserve">What was found: [issues confirmed, partly confirmed, not confirmed]</w:t>
            </w:r>
          </w:p>
          <w:p>
            <w:pPr>
              <w:spacing w:after="10" w:line="250"/>
            </w:pPr>
            <w:r>
              <w:rPr>
                <w:rFonts w:ascii="Courier New" w:cs="Courier New" w:eastAsia="Courier New" w:hAnsi="Courier New"/>
                <w:color w:val="1B2433"/>
                <w:sz w:val="16"/>
                <w:szCs w:val="16"/>
              </w:rPr>
              <w:t xml:space="preserve">What changed: [corrections made; items removed; notes added]</w:t>
            </w:r>
          </w:p>
          <w:p>
            <w:pPr>
              <w:spacing w:after="10" w:line="250"/>
            </w:pPr>
            <w:r>
              <w:rPr>
                <w:rFonts w:ascii="Courier New" w:cs="Courier New" w:eastAsia="Courier New" w:hAnsi="Courier New"/>
                <w:color w:val="1B2433"/>
                <w:sz w:val="16"/>
                <w:szCs w:val="16"/>
              </w:rPr>
              <w:t xml:space="preserve">What remains uncertain: [open questions and why]</w:t>
            </w:r>
          </w:p>
          <w:p>
            <w:pPr>
              <w:spacing w:after="10" w:line="250"/>
            </w:pPr>
            <w:r>
              <w:rPr>
                <w:rFonts w:ascii="Courier New" w:cs="Courier New" w:eastAsia="Courier New" w:hAnsi="Courier New"/>
                <w:color w:val="1B2433"/>
                <w:sz w:val="16"/>
                <w:szCs w:val="16"/>
              </w:rPr>
              <w:t xml:space="preserve">Checked rate: [n of n material claims]   Sign-off rate: [n of n irreversible acts]</w:t>
            </w:r>
          </w:p>
          <w:p>
            <w:pPr>
              <w:spacing w:after="10" w:line="250"/>
            </w:pPr>
            <w:r>
              <w:rPr>
                <w:rFonts w:ascii="Courier New" w:cs="Courier New" w:eastAsia="Courier New" w:hAnsi="Courier New"/>
                <w:color w:val="1B2433"/>
                <w:sz w:val="16"/>
                <w:szCs w:val="16"/>
              </w:rPr>
              <w:t xml:space="preserve">Signed off by: [name, ORCID iD, date]</w:t>
            </w:r>
          </w:p>
        </w:tc>
      </w:tr>
    </w:tbl>
    <w:p>
      <w:pPr>
        <w:spacing w:before="300"/>
      </w:pPr>
      <w:r>
        <w:rPr>
          <w:rFonts w:ascii="Arial" w:cs="Arial" w:eastAsia="Arial" w:hAnsi="Arial"/>
          <w:color w:val="566074"/>
          <w:sz w:val="15"/>
          <w:szCs w:val="15"/>
        </w:rPr>
        <w:t xml:space="preserve">From ADAM and AI: Agentic Directed AI Modeling (ADAM) and the Agentic AI Checkpoint Protocol (AACP), Version 1.0 (2026). CC BY 4.0.</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074"/>
        <w:sz w:val="14"/>
        <w:szCs w:val="14"/>
      </w:rPr>
      <w:t xml:space="preserve">ADAM Verification Kit · v1.0  |  </w:t>
    </w:r>
    <w:r>
      <w:rPr>
        <w:rFonts w:ascii="Arial" w:cs="Arial" w:eastAsia="Arial" w:hAnsi="Arial"/>
        <w:color w:val="56607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Verification Kit</dc:title>
  <dc:creator>Raymond Uzwyshyn</dc:creator>
  <cp:lastModifiedBy>Un-named</cp:lastModifiedBy>
  <cp:revision>1</cp:revision>
  <dcterms:created xsi:type="dcterms:W3CDTF">2026-09-26T11:37:35.695Z</dcterms:created>
  <dcterms:modified xsi:type="dcterms:W3CDTF">2026-09-26T11:37:35.695Z</dcterms:modified>
</cp:coreProperties>
</file>

<file path=docProps/custom.xml><?xml version="1.0" encoding="utf-8"?>
<Properties xmlns="http://schemas.openxmlformats.org/officeDocument/2006/custom-properties" xmlns:vt="http://schemas.openxmlformats.org/officeDocument/2006/docPropsVTypes"/>
</file>